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42E50" w14:textId="77777777" w:rsidR="00E52B58" w:rsidRPr="00411664" w:rsidRDefault="00E52B58" w:rsidP="00E52B58">
      <w:r w:rsidRPr="00411664">
        <w:t>The History of the Ford Mustang</w:t>
      </w:r>
    </w:p>
    <w:p w14:paraId="264197B1" w14:textId="77777777" w:rsidR="00E52B58" w:rsidRPr="00411664" w:rsidRDefault="00E52B58" w:rsidP="00E52B58">
      <w:r w:rsidRPr="00411664">
        <w:t>(Preliminary Research Findings)</w:t>
      </w:r>
    </w:p>
    <w:p w14:paraId="3D6538F8" w14:textId="77777777" w:rsidR="00E52B58" w:rsidRPr="00411664" w:rsidRDefault="00E52B58" w:rsidP="00E52B58">
      <w:r w:rsidRPr="00411664">
        <w:t>Author’s Name</w:t>
      </w:r>
      <w:r w:rsidRPr="00411664">
        <w:br/>
        <w:t>Classic Cars Enthusiasts Club Report</w:t>
      </w:r>
    </w:p>
    <w:p w14:paraId="1CDB9150" w14:textId="77777777" w:rsidR="00E52B58" w:rsidRPr="00411664" w:rsidRDefault="00E52B58" w:rsidP="00E52B58">
      <w:r w:rsidRPr="00411664">
        <w:t>Generations of the Ford Mustang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2"/>
        <w:gridCol w:w="1059"/>
        <w:gridCol w:w="533"/>
      </w:tblGrid>
      <w:tr w:rsidR="00E52B58" w:rsidRPr="00411664" w14:paraId="631D4A48" w14:textId="77777777" w:rsidTr="00E52B58">
        <w:trPr>
          <w:tblHeader/>
          <w:tblCellSpacing w:w="15" w:type="dxa"/>
        </w:trPr>
        <w:tc>
          <w:tcPr>
            <w:tcW w:w="0" w:type="auto"/>
            <w:vAlign w:val="center"/>
            <w:hideMark/>
          </w:tcPr>
          <w:p w14:paraId="2E626D6D" w14:textId="77777777" w:rsidR="00E52B58" w:rsidRPr="00411664" w:rsidRDefault="00E52B58" w:rsidP="00E52B58">
            <w:r w:rsidRPr="00411664">
              <w:t>Generation</w:t>
            </w:r>
          </w:p>
        </w:tc>
        <w:tc>
          <w:tcPr>
            <w:tcW w:w="0" w:type="auto"/>
            <w:vAlign w:val="center"/>
            <w:hideMark/>
          </w:tcPr>
          <w:p w14:paraId="110CAD64" w14:textId="77777777" w:rsidR="00E52B58" w:rsidRPr="00411664" w:rsidRDefault="00E52B58" w:rsidP="00E52B58">
            <w:r w:rsidRPr="00411664">
              <w:t>Years</w:t>
            </w:r>
          </w:p>
        </w:tc>
        <w:tc>
          <w:tcPr>
            <w:tcW w:w="0" w:type="auto"/>
            <w:vAlign w:val="center"/>
            <w:hideMark/>
          </w:tcPr>
          <w:p w14:paraId="2E64910C" w14:textId="77777777" w:rsidR="00E52B58" w:rsidRPr="00411664" w:rsidRDefault="00E52B58" w:rsidP="00E52B58">
            <w:r w:rsidRPr="00411664">
              <w:t>Page</w:t>
            </w:r>
          </w:p>
        </w:tc>
      </w:tr>
      <w:tr w:rsidR="00E52B58" w:rsidRPr="00411664" w14:paraId="0AE0632B" w14:textId="77777777" w:rsidTr="00E52B58">
        <w:trPr>
          <w:tblCellSpacing w:w="15" w:type="dxa"/>
        </w:trPr>
        <w:tc>
          <w:tcPr>
            <w:tcW w:w="0" w:type="auto"/>
            <w:vAlign w:val="center"/>
            <w:hideMark/>
          </w:tcPr>
          <w:p w14:paraId="75B78C96" w14:textId="77777777" w:rsidR="00E52B58" w:rsidRPr="00411664" w:rsidRDefault="00E52B58" w:rsidP="00E52B58">
            <w:r w:rsidRPr="00411664">
              <w:t>First Generation</w:t>
            </w:r>
          </w:p>
        </w:tc>
        <w:tc>
          <w:tcPr>
            <w:tcW w:w="0" w:type="auto"/>
            <w:vAlign w:val="center"/>
            <w:hideMark/>
          </w:tcPr>
          <w:p w14:paraId="1D994DEE" w14:textId="77777777" w:rsidR="00E52B58" w:rsidRPr="00411664" w:rsidRDefault="00E52B58" w:rsidP="00E52B58">
            <w:r w:rsidRPr="00411664">
              <w:t>1964-1973</w:t>
            </w:r>
          </w:p>
        </w:tc>
        <w:tc>
          <w:tcPr>
            <w:tcW w:w="0" w:type="auto"/>
            <w:vAlign w:val="center"/>
            <w:hideMark/>
          </w:tcPr>
          <w:p w14:paraId="1D4F6B9F" w14:textId="77777777" w:rsidR="00E52B58" w:rsidRPr="00411664" w:rsidRDefault="00E52B58" w:rsidP="00E52B58">
            <w:r w:rsidRPr="00411664">
              <w:t>2</w:t>
            </w:r>
          </w:p>
        </w:tc>
      </w:tr>
      <w:tr w:rsidR="00E52B58" w:rsidRPr="00411664" w14:paraId="5907D35E" w14:textId="77777777" w:rsidTr="00E52B58">
        <w:trPr>
          <w:tblCellSpacing w:w="15" w:type="dxa"/>
        </w:trPr>
        <w:tc>
          <w:tcPr>
            <w:tcW w:w="0" w:type="auto"/>
            <w:vAlign w:val="center"/>
            <w:hideMark/>
          </w:tcPr>
          <w:p w14:paraId="5D492922" w14:textId="77777777" w:rsidR="00E52B58" w:rsidRPr="00411664" w:rsidRDefault="00E52B58" w:rsidP="00E52B58">
            <w:r w:rsidRPr="00411664">
              <w:t>Second Generation</w:t>
            </w:r>
          </w:p>
        </w:tc>
        <w:tc>
          <w:tcPr>
            <w:tcW w:w="0" w:type="auto"/>
            <w:vAlign w:val="center"/>
            <w:hideMark/>
          </w:tcPr>
          <w:p w14:paraId="5ABBE640" w14:textId="77777777" w:rsidR="00E52B58" w:rsidRPr="00411664" w:rsidRDefault="00E52B58" w:rsidP="00E52B58">
            <w:r w:rsidRPr="00411664">
              <w:t>1974-1978</w:t>
            </w:r>
          </w:p>
        </w:tc>
        <w:tc>
          <w:tcPr>
            <w:tcW w:w="0" w:type="auto"/>
            <w:vAlign w:val="center"/>
            <w:hideMark/>
          </w:tcPr>
          <w:p w14:paraId="757D0A7A" w14:textId="77777777" w:rsidR="00E52B58" w:rsidRPr="00411664" w:rsidRDefault="00E52B58" w:rsidP="00E52B58">
            <w:r w:rsidRPr="00411664">
              <w:t>3</w:t>
            </w:r>
          </w:p>
        </w:tc>
      </w:tr>
      <w:tr w:rsidR="00E52B58" w:rsidRPr="00411664" w14:paraId="295B5B7C" w14:textId="77777777" w:rsidTr="00E52B58">
        <w:trPr>
          <w:tblCellSpacing w:w="15" w:type="dxa"/>
        </w:trPr>
        <w:tc>
          <w:tcPr>
            <w:tcW w:w="0" w:type="auto"/>
            <w:vAlign w:val="center"/>
            <w:hideMark/>
          </w:tcPr>
          <w:p w14:paraId="1C44B077" w14:textId="77777777" w:rsidR="00E52B58" w:rsidRPr="00411664" w:rsidRDefault="00E52B58" w:rsidP="00E52B58">
            <w:r w:rsidRPr="00411664">
              <w:t>Third Generation</w:t>
            </w:r>
          </w:p>
        </w:tc>
        <w:tc>
          <w:tcPr>
            <w:tcW w:w="0" w:type="auto"/>
            <w:vAlign w:val="center"/>
            <w:hideMark/>
          </w:tcPr>
          <w:p w14:paraId="12328D9D" w14:textId="77777777" w:rsidR="00E52B58" w:rsidRPr="00411664" w:rsidRDefault="00E52B58" w:rsidP="00E52B58">
            <w:r w:rsidRPr="00411664">
              <w:t>1979-1993</w:t>
            </w:r>
          </w:p>
        </w:tc>
        <w:tc>
          <w:tcPr>
            <w:tcW w:w="0" w:type="auto"/>
            <w:vAlign w:val="center"/>
            <w:hideMark/>
          </w:tcPr>
          <w:p w14:paraId="386F8558" w14:textId="77777777" w:rsidR="00E52B58" w:rsidRPr="00411664" w:rsidRDefault="00E52B58" w:rsidP="00E52B58">
            <w:r w:rsidRPr="00411664">
              <w:t>4</w:t>
            </w:r>
          </w:p>
        </w:tc>
      </w:tr>
    </w:tbl>
    <w:p w14:paraId="6C84656A" w14:textId="77777777" w:rsidR="00E52B58" w:rsidRPr="00411664" w:rsidRDefault="00E52B58" w:rsidP="00E52B58">
      <w:r w:rsidRPr="00411664">
        <w:t>Introduction</w:t>
      </w:r>
    </w:p>
    <w:p w14:paraId="2E338B78" w14:textId="77777777" w:rsidR="00E52B58" w:rsidRPr="00411664" w:rsidRDefault="00E52B58" w:rsidP="00E52B58">
      <w:r w:rsidRPr="00411664">
        <w:t xml:space="preserve">The Ford Mustang is one of the most iconic American muscle cars ever built. Introduced in 1964, it revolutionized the automotive industry by offering a stylish, powerful, and affordable sports car. Designed as a car for the masses, the Mustang quickly became a cultural symbol, setting sales records and defining the </w:t>
      </w:r>
      <w:r w:rsidRPr="00411664">
        <w:rPr>
          <w:i/>
          <w:iCs/>
        </w:rPr>
        <w:t>pony car</w:t>
      </w:r>
      <w:r w:rsidRPr="00411664">
        <w:t xml:space="preserve"> class. Over the years, the Mustang has evolved through multiple generations, adapting to new performance trends and technological advancements while maintaining its legacy as a powerful, stylish, and exhilarating ride.</w:t>
      </w:r>
    </w:p>
    <w:p w14:paraId="10EC44AC" w14:textId="77777777" w:rsidR="00E52B58" w:rsidRPr="00411664" w:rsidRDefault="00E52B58" w:rsidP="00E52B58">
      <w:r w:rsidRPr="00411664">
        <w:t>First Generation (1964-1973)</w:t>
      </w:r>
    </w:p>
    <w:p w14:paraId="531341BE" w14:textId="77777777" w:rsidR="00E52B58" w:rsidRPr="00411664" w:rsidRDefault="00E52B58" w:rsidP="00E52B58">
      <w:r w:rsidRPr="00411664">
        <w:t>The first-generation Ford Mustang debuted at the 1964 New York World’s Fair, where it was met with overwhelming enthusiasm. Designed as a compact, affordable sports car, it was available in coupe, convertible, and fastback body styles. The base model featured a 170 cubic-inch six-cylinder engine, but V8 options soon followed, making the Mustang a favorite among performance enthusiasts.</w:t>
      </w:r>
    </w:p>
    <w:p w14:paraId="24CDE5E6" w14:textId="77777777" w:rsidR="00E52B58" w:rsidRPr="00411664" w:rsidRDefault="00E52B58" w:rsidP="00E52B58">
      <w:r w:rsidRPr="00411664">
        <w:t xml:space="preserve">Throughout the late 1960s, </w:t>
      </w:r>
      <w:proofErr w:type="gramStart"/>
      <w:r w:rsidRPr="00411664">
        <w:t>the Mustang</w:t>
      </w:r>
      <w:proofErr w:type="gramEnd"/>
      <w:r w:rsidRPr="00411664">
        <w:t xml:space="preserve"> saw numerous design updates, including more aggressive styling and increased engine options. Notably, the 1967 model year introduced a larger body and the option for a big-block 390 cubic-inch V8. In 1969, the high-performance Boss 302 and Boss 429 models debuted, cementing </w:t>
      </w:r>
      <w:proofErr w:type="gramStart"/>
      <w:r w:rsidRPr="00411664">
        <w:t>the Mustang’s</w:t>
      </w:r>
      <w:proofErr w:type="gramEnd"/>
      <w:r w:rsidRPr="00411664">
        <w:t xml:space="preserve"> reputation on the </w:t>
      </w:r>
      <w:proofErr w:type="gramStart"/>
      <w:r w:rsidRPr="00411664">
        <w:t>race track</w:t>
      </w:r>
      <w:proofErr w:type="gramEnd"/>
      <w:r w:rsidRPr="00411664">
        <w:t>.</w:t>
      </w:r>
    </w:p>
    <w:p w14:paraId="09F97429" w14:textId="77777777" w:rsidR="00E52B58" w:rsidRPr="00411664" w:rsidRDefault="00E52B58" w:rsidP="00E52B58">
      <w:r w:rsidRPr="00411664">
        <w:t xml:space="preserve">By 1971, the Mustang had </w:t>
      </w:r>
      <w:proofErr w:type="gramStart"/>
      <w:r w:rsidRPr="00411664">
        <w:t>grown in size</w:t>
      </w:r>
      <w:proofErr w:type="gramEnd"/>
      <w:r w:rsidRPr="00411664">
        <w:t xml:space="preserve"> and power, reflecting the era’s muscle car trend. However, rising fuel prices and stricter </w:t>
      </w:r>
      <w:r w:rsidRPr="00411664">
        <w:lastRenderedPageBreak/>
        <w:t>emissions regulations led to the end of the first generation in 1973, making way for a smaller, more fuel-efficient model.</w:t>
      </w:r>
    </w:p>
    <w:p w14:paraId="4A18E7F3" w14:textId="772A90E3" w:rsidR="00E52B58" w:rsidRPr="00411664" w:rsidRDefault="00E52B58" w:rsidP="00E52B58">
      <w:r w:rsidRPr="00411664">
        <w:t>Second Generation (1974-1978)</w:t>
      </w:r>
    </w:p>
    <w:p w14:paraId="3887290C" w14:textId="77777777" w:rsidR="00E52B58" w:rsidRPr="00411664" w:rsidRDefault="00E52B58" w:rsidP="00E52B58">
      <w:r w:rsidRPr="00411664">
        <w:t>The second-generation Mustang, commonly known as the Mustang II, was introduced in 1974 in response to the oil crisis and changing consumer demands. Ford significantly downsized the Mustang, basing it on the Ford Pinto platform to improve fuel economy.</w:t>
      </w:r>
    </w:p>
    <w:p w14:paraId="343E8E0C" w14:textId="77777777" w:rsidR="00E52B58" w:rsidRPr="00411664" w:rsidRDefault="00E52B58" w:rsidP="00E52B58">
      <w:r w:rsidRPr="00411664">
        <w:t>While purists were initially skeptical of the Mustang II’s smaller size and reduced performance, it became a commercial success. Ford offered four-cylinder and V6 engines, with a 302 cubic-inch V8 returning in 1975 to satisfy muscle car enthusiasts.</w:t>
      </w:r>
    </w:p>
    <w:p w14:paraId="5EDC3049" w14:textId="77777777" w:rsidR="00E52B58" w:rsidRPr="00411664" w:rsidRDefault="00E52B58" w:rsidP="00E52B58">
      <w:r w:rsidRPr="00411664">
        <w:t>By 1978, Ford introduced special King Cobra and Mach 1 performance packages, signaling a return to the Mustang’s sporty roots. Though often overshadowed by other generations, the Mustang II played a crucial role in keeping the Mustang alive during a challenging economic period.</w:t>
      </w:r>
    </w:p>
    <w:p w14:paraId="40B96CBA" w14:textId="77777777" w:rsidR="00411664" w:rsidRPr="00411664" w:rsidRDefault="00411664" w:rsidP="00411664">
      <w:r w:rsidRPr="00411664">
        <w:t>The Evolution of the Ford Mustang: Fox Body, SN95, and Modern Shelby GT500</w:t>
      </w:r>
    </w:p>
    <w:p w14:paraId="248CEFA4" w14:textId="77777777" w:rsidR="00411664" w:rsidRPr="00411664" w:rsidRDefault="00411664" w:rsidP="00411664">
      <w:r w:rsidRPr="00411664">
        <w:t>The Fox Body Mustang (1979-1993) marked a significant turning point for Ford’s iconic pony car. Built on Ford’s Fox platform, this generation introduced a more compact, lightweight design compared to its predecessor. While early models were underpowered due to strict emissions regulations, performance gradually improved, particularly with the return of the 5.0L V8 in the Mustang GT. By the late 1980s, the Mustang had regained its muscle car status, with the 1993 Mustang SVT Cobra serving as the high-performance send-off for the Fox Body era. Known for its affordability and modifiability, the Fox Body remains a favorite among Mustang enthusiasts and drag racers today.</w:t>
      </w:r>
    </w:p>
    <w:p w14:paraId="4DD238C6" w14:textId="77777777" w:rsidR="00411664" w:rsidRPr="00411664" w:rsidRDefault="00411664" w:rsidP="00411664">
      <w:r w:rsidRPr="00411664">
        <w:t xml:space="preserve">The SN95 Mustang (1994-2004) was a complete redesign that modernized </w:t>
      </w:r>
      <w:proofErr w:type="gramStart"/>
      <w:r w:rsidRPr="00411664">
        <w:t>the Mustang’s</w:t>
      </w:r>
      <w:proofErr w:type="gramEnd"/>
      <w:r w:rsidRPr="00411664">
        <w:t xml:space="preserve"> appearance while retaining the Fox platform as its foundation. Featuring a more aerodynamic body, improved safety features, and an upgraded interior, the SN95 was built to compete with rising competition from Chevrolet and Dodge. Performance options included a 4.6L Modular V8, replacing the legendary 5.0L Windsor engine in 1996. In 1999, a major refresh introduced Ford’s “New Edge” design language, giving the Mustang sharper lines and an aggressive stance. The 2003-2004 Mustang SVT Cobra, nicknamed "Terminator," became an instant legend with its </w:t>
      </w:r>
      <w:r w:rsidRPr="00411664">
        <w:lastRenderedPageBreak/>
        <w:t>supercharged 4.6L V8 producing 390 horsepower, laying the groundwork for future high-performance Mustangs.</w:t>
      </w:r>
    </w:p>
    <w:p w14:paraId="14D8E7BD" w14:textId="77777777" w:rsidR="00411664" w:rsidRPr="00411664" w:rsidRDefault="00411664" w:rsidP="00411664">
      <w:r w:rsidRPr="00411664">
        <w:t xml:space="preserve">Modern Shelby GT500 Mustangs have pushed the boundaries of what a production Mustang can achieve. The 2007 Shelby GT500 revived the legendary nameplate, featuring a 500-horsepower supercharged 5.4L V8. Each </w:t>
      </w:r>
      <w:proofErr w:type="gramStart"/>
      <w:r w:rsidRPr="00411664">
        <w:t>iteration since</w:t>
      </w:r>
      <w:proofErr w:type="gramEnd"/>
      <w:r w:rsidRPr="00411664">
        <w:t xml:space="preserve"> has become increasingly powerful, with the 2020 GT500 producing a staggering 760 horsepower from a 5.2L supercharged V8, making it the most powerful factory Mustang ever built. Advanced aerodynamics, a dual-clutch transmission, and cutting-edge performance technology allow modern Shelby Mustangs to compete with some of the world’s most exotic sports cars, cementing the Mustang’s reputation as an American performance icon.</w:t>
      </w:r>
    </w:p>
    <w:p w14:paraId="236AA0FB" w14:textId="64FFE108" w:rsidR="00617B6C" w:rsidRPr="00411664" w:rsidRDefault="00D53932">
      <w:r w:rsidRPr="00831E3C">
        <w:rPr>
          <w:rFonts w:ascii="Arial" w:hAnsi="Arial" w:cs="Arial"/>
          <w:noProof/>
          <w:sz w:val="24"/>
          <w:szCs w:val="24"/>
        </w:rPr>
        <w:drawing>
          <wp:anchor distT="0" distB="0" distL="114300" distR="114300" simplePos="0" relativeHeight="251659264" behindDoc="0" locked="0" layoutInCell="1" allowOverlap="1" wp14:anchorId="4768CB05" wp14:editId="061B29E8">
            <wp:simplePos x="0" y="0"/>
            <wp:positionH relativeFrom="margin">
              <wp:posOffset>0</wp:posOffset>
            </wp:positionH>
            <wp:positionV relativeFrom="paragraph">
              <wp:posOffset>3161030</wp:posOffset>
            </wp:positionV>
            <wp:extent cx="4114800" cy="2309495"/>
            <wp:effectExtent l="0" t="0" r="0" b="0"/>
            <wp:wrapNone/>
            <wp:docPr id="2001418845" name="Picture 3" descr="A red sports car parked on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418845" name="Picture 3" descr="A red sports car parked on a road&#10;&#10;AI-generated content may be incorrect."/>
                    <pic:cNvPicPr>
                      <a:picLocks noChangeAspect="1"/>
                    </pic:cNvPicPr>
                  </pic:nvPicPr>
                  <pic:blipFill>
                    <a:blip r:embed="rId4">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4114800" cy="2309495"/>
                    </a:xfrm>
                    <a:prstGeom prst="rect">
                      <a:avLst/>
                    </a:prstGeom>
                    <a:effectLst/>
                  </pic:spPr>
                </pic:pic>
              </a:graphicData>
            </a:graphic>
          </wp:anchor>
        </w:drawing>
      </w:r>
      <w:r w:rsidRPr="00831E3C">
        <w:rPr>
          <w:rFonts w:ascii="Arial" w:hAnsi="Arial" w:cs="Arial"/>
          <w:noProof/>
          <w:sz w:val="24"/>
          <w:szCs w:val="24"/>
        </w:rPr>
        <w:drawing>
          <wp:anchor distT="0" distB="0" distL="114300" distR="114300" simplePos="0" relativeHeight="251660288" behindDoc="0" locked="0" layoutInCell="1" allowOverlap="1" wp14:anchorId="573AFEFB" wp14:editId="5B23703D">
            <wp:simplePos x="0" y="0"/>
            <wp:positionH relativeFrom="margin">
              <wp:posOffset>0</wp:posOffset>
            </wp:positionH>
            <wp:positionV relativeFrom="paragraph">
              <wp:posOffset>-635</wp:posOffset>
            </wp:positionV>
            <wp:extent cx="4114800" cy="2314575"/>
            <wp:effectExtent l="0" t="0" r="0" b="9525"/>
            <wp:wrapNone/>
            <wp:docPr id="820324893" name="Picture 2" descr="A blue car parked on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324893" name="Picture 2" descr="A blue car parked on a road&#10;&#10;AI-generated content may be incorrect."/>
                    <pic:cNvPicPr/>
                  </pic:nvPicPr>
                  <pic:blipFill>
                    <a:blip r:embed="rId6" cstate="print">
                      <a:extLst>
                        <a:ext uri="{28A0092B-C50C-407E-A947-70E740481C1C}">
                          <a14:useLocalDpi xmlns:a14="http://schemas.microsoft.com/office/drawing/2010/main" val="0"/>
                        </a:ext>
                        <a:ext uri="{837473B0-CC2E-450A-ABE3-18F120FF3D39}">
                          <a1611:picAttrSrcUrl xmlns:a1611="http://schemas.microsoft.com/office/drawing/2016/11/main" r:id="rId7"/>
                        </a:ext>
                      </a:extLst>
                    </a:blip>
                    <a:stretch>
                      <a:fillRect/>
                    </a:stretch>
                  </pic:blipFill>
                  <pic:spPr>
                    <a:xfrm>
                      <a:off x="0" y="0"/>
                      <a:ext cx="4114800" cy="2314575"/>
                    </a:xfrm>
                    <a:prstGeom prst="rect">
                      <a:avLst/>
                    </a:prstGeom>
                    <a:effectLst/>
                  </pic:spPr>
                </pic:pic>
              </a:graphicData>
            </a:graphic>
          </wp:anchor>
        </w:drawing>
      </w:r>
    </w:p>
    <w:sectPr w:rsidR="00617B6C" w:rsidRPr="00411664" w:rsidSect="001E3530">
      <w:pgSz w:w="12240" w:h="15840"/>
      <w:pgMar w:top="1440" w:right="2880" w:bottom="1440" w:left="28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B58"/>
    <w:rsid w:val="000E6957"/>
    <w:rsid w:val="001E3530"/>
    <w:rsid w:val="00411664"/>
    <w:rsid w:val="00617B6C"/>
    <w:rsid w:val="00634206"/>
    <w:rsid w:val="008A16BF"/>
    <w:rsid w:val="00A402D5"/>
    <w:rsid w:val="00D53932"/>
    <w:rsid w:val="00E52B58"/>
    <w:rsid w:val="00F15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4818A"/>
  <w15:chartTrackingRefBased/>
  <w15:docId w15:val="{87ACD91E-D61B-4296-A16C-34E4921A5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2B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2B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2B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2B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2B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2B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2B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2B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2B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B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2B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2B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2B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2B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2B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2B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2B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2B58"/>
    <w:rPr>
      <w:rFonts w:eastAsiaTheme="majorEastAsia" w:cstheme="majorBidi"/>
      <w:color w:val="272727" w:themeColor="text1" w:themeTint="D8"/>
    </w:rPr>
  </w:style>
  <w:style w:type="paragraph" w:styleId="Title">
    <w:name w:val="Title"/>
    <w:basedOn w:val="Normal"/>
    <w:next w:val="Normal"/>
    <w:link w:val="TitleChar"/>
    <w:uiPriority w:val="10"/>
    <w:qFormat/>
    <w:rsid w:val="00E52B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2B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2B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2B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2B58"/>
    <w:pPr>
      <w:spacing w:before="160"/>
      <w:jc w:val="center"/>
    </w:pPr>
    <w:rPr>
      <w:i/>
      <w:iCs/>
      <w:color w:val="404040" w:themeColor="text1" w:themeTint="BF"/>
    </w:rPr>
  </w:style>
  <w:style w:type="character" w:customStyle="1" w:styleId="QuoteChar">
    <w:name w:val="Quote Char"/>
    <w:basedOn w:val="DefaultParagraphFont"/>
    <w:link w:val="Quote"/>
    <w:uiPriority w:val="29"/>
    <w:rsid w:val="00E52B58"/>
    <w:rPr>
      <w:i/>
      <w:iCs/>
      <w:color w:val="404040" w:themeColor="text1" w:themeTint="BF"/>
    </w:rPr>
  </w:style>
  <w:style w:type="paragraph" w:styleId="ListParagraph">
    <w:name w:val="List Paragraph"/>
    <w:basedOn w:val="Normal"/>
    <w:uiPriority w:val="34"/>
    <w:qFormat/>
    <w:rsid w:val="00E52B58"/>
    <w:pPr>
      <w:ind w:left="720"/>
      <w:contextualSpacing/>
    </w:pPr>
  </w:style>
  <w:style w:type="character" w:styleId="IntenseEmphasis">
    <w:name w:val="Intense Emphasis"/>
    <w:basedOn w:val="DefaultParagraphFont"/>
    <w:uiPriority w:val="21"/>
    <w:qFormat/>
    <w:rsid w:val="00E52B58"/>
    <w:rPr>
      <w:i/>
      <w:iCs/>
      <w:color w:val="0F4761" w:themeColor="accent1" w:themeShade="BF"/>
    </w:rPr>
  </w:style>
  <w:style w:type="paragraph" w:styleId="IntenseQuote">
    <w:name w:val="Intense Quote"/>
    <w:basedOn w:val="Normal"/>
    <w:next w:val="Normal"/>
    <w:link w:val="IntenseQuoteChar"/>
    <w:uiPriority w:val="30"/>
    <w:qFormat/>
    <w:rsid w:val="00E52B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2B58"/>
    <w:rPr>
      <w:i/>
      <w:iCs/>
      <w:color w:val="0F4761" w:themeColor="accent1" w:themeShade="BF"/>
    </w:rPr>
  </w:style>
  <w:style w:type="character" w:styleId="IntenseReference">
    <w:name w:val="Intense Reference"/>
    <w:basedOn w:val="DefaultParagraphFont"/>
    <w:uiPriority w:val="32"/>
    <w:qFormat/>
    <w:rsid w:val="00E52B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0182288">
      <w:bodyDiv w:val="1"/>
      <w:marLeft w:val="0"/>
      <w:marRight w:val="0"/>
      <w:marTop w:val="0"/>
      <w:marBottom w:val="0"/>
      <w:divBdr>
        <w:top w:val="none" w:sz="0" w:space="0" w:color="auto"/>
        <w:left w:val="none" w:sz="0" w:space="0" w:color="auto"/>
        <w:bottom w:val="none" w:sz="0" w:space="0" w:color="auto"/>
        <w:right w:val="none" w:sz="0" w:space="0" w:color="auto"/>
      </w:divBdr>
    </w:div>
    <w:div w:id="1187867208">
      <w:bodyDiv w:val="1"/>
      <w:marLeft w:val="0"/>
      <w:marRight w:val="0"/>
      <w:marTop w:val="0"/>
      <w:marBottom w:val="0"/>
      <w:divBdr>
        <w:top w:val="none" w:sz="0" w:space="0" w:color="auto"/>
        <w:left w:val="none" w:sz="0" w:space="0" w:color="auto"/>
        <w:bottom w:val="none" w:sz="0" w:space="0" w:color="auto"/>
        <w:right w:val="none" w:sz="0" w:space="0" w:color="auto"/>
      </w:divBdr>
    </w:div>
    <w:div w:id="1363555007">
      <w:bodyDiv w:val="1"/>
      <w:marLeft w:val="0"/>
      <w:marRight w:val="0"/>
      <w:marTop w:val="0"/>
      <w:marBottom w:val="0"/>
      <w:divBdr>
        <w:top w:val="none" w:sz="0" w:space="0" w:color="auto"/>
        <w:left w:val="none" w:sz="0" w:space="0" w:color="auto"/>
        <w:bottom w:val="none" w:sz="0" w:space="0" w:color="auto"/>
        <w:right w:val="none" w:sz="0" w:space="0" w:color="auto"/>
      </w:divBdr>
    </w:div>
    <w:div w:id="1367175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pxhere.com/en/photo/14915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flickr.com/photos/motosclasicas/8440528426/"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717</Words>
  <Characters>4088</Characters>
  <Application>Microsoft Office Word</Application>
  <DocSecurity>0</DocSecurity>
  <Lines>34</Lines>
  <Paragraphs>9</Paragraphs>
  <ScaleCrop>false</ScaleCrop>
  <Company/>
  <LinksUpToDate>false</LinksUpToDate>
  <CharactersWithSpaces>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Knott</dc:creator>
  <cp:keywords/>
  <dc:description/>
  <cp:lastModifiedBy>Richard Knott</cp:lastModifiedBy>
  <cp:revision>5</cp:revision>
  <dcterms:created xsi:type="dcterms:W3CDTF">2025-02-27T06:58:00Z</dcterms:created>
  <dcterms:modified xsi:type="dcterms:W3CDTF">2025-03-01T03:55:00Z</dcterms:modified>
</cp:coreProperties>
</file>