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BF5F47" w14:textId="77777777" w:rsidR="00C249A2" w:rsidRDefault="00000000">
      <w:pPr>
        <w:pStyle w:val="Heading1"/>
      </w:pPr>
      <w:r>
        <w:rPr>
          <w:b/>
          <w:bCs/>
          <w:sz w:val="28"/>
          <w:szCs w:val="28"/>
        </w:rPr>
        <w:t>Riverside Community Center</w:t>
      </w:r>
    </w:p>
    <w:p w14:paraId="03B71278" w14:textId="77777777" w:rsidR="00C249A2" w:rsidRDefault="00000000">
      <w:pPr>
        <w:pStyle w:val="Heading2"/>
      </w:pPr>
      <w:r>
        <w:rPr>
          <w:b/>
          <w:bCs/>
          <w:sz w:val="24"/>
          <w:szCs w:val="24"/>
        </w:rPr>
        <w:t>Annual Program Report 2024-2025</w:t>
      </w:r>
    </w:p>
    <w:p w14:paraId="214C39D2" w14:textId="77777777" w:rsidR="00C249A2" w:rsidRDefault="00C249A2">
      <w:pPr>
        <w:pBdr>
          <w:bottom w:val="single" w:sz="4" w:space="1" w:color="000000"/>
        </w:pBdr>
        <w:spacing w:after="200"/>
      </w:pPr>
    </w:p>
    <w:p w14:paraId="0452F7EC" w14:textId="77777777" w:rsidR="00C249A2" w:rsidRDefault="00000000">
      <w:pPr>
        <w:pStyle w:val="Heading1"/>
      </w:pPr>
      <w:r>
        <w:rPr>
          <w:b/>
          <w:bCs/>
          <w:sz w:val="24"/>
          <w:szCs w:val="24"/>
        </w:rPr>
        <w:t>Executive Summary</w:t>
      </w:r>
    </w:p>
    <w:p w14:paraId="7DFDC8E9" w14:textId="77777777" w:rsidR="00C249A2" w:rsidRDefault="00000000">
      <w:pPr>
        <w:spacing w:after="180" w:line="360" w:lineRule="auto"/>
      </w:pPr>
      <w:r>
        <w:t>This report summarizes the programs, membership, and financial performance of the Riverside Community Center for fiscal year 2024-2025. It has been prepared for distribution to the Board of Directors, key stakeholders, and community partners.</w:t>
      </w:r>
    </w:p>
    <w:p w14:paraId="0C118AFC" w14:textId="77777777" w:rsidR="00C249A2" w:rsidRDefault="00C249A2">
      <w:pPr>
        <w:spacing w:after="160"/>
      </w:pPr>
    </w:p>
    <w:p w14:paraId="180D8E3C" w14:textId="77777777" w:rsidR="00C249A2" w:rsidRDefault="00000000">
      <w:pPr>
        <w:pStyle w:val="Heading1"/>
      </w:pPr>
      <w:r>
        <w:rPr>
          <w:b/>
          <w:bCs/>
          <w:sz w:val="24"/>
          <w:szCs w:val="24"/>
        </w:rPr>
        <w:t>Membership</w:t>
      </w:r>
    </w:p>
    <w:p w14:paraId="5B165F79" w14:textId="77777777" w:rsidR="00C249A2" w:rsidRDefault="00000000">
      <w:pPr>
        <w:pStyle w:val="Heading2"/>
      </w:pPr>
      <w:r>
        <w:rPr>
          <w:b/>
          <w:bCs/>
          <w:sz w:val="22"/>
          <w:szCs w:val="22"/>
        </w:rPr>
        <w:t>Membership Growth</w:t>
      </w:r>
    </w:p>
    <w:p w14:paraId="04599055" w14:textId="77777777" w:rsidR="00C249A2" w:rsidRDefault="00000000">
      <w:pPr>
        <w:spacing w:after="180" w:line="360" w:lineRule="auto"/>
      </w:pPr>
      <w:r>
        <w:t>Total active memberships reached 4,164 — the highest in the Center's history, representing a 14.2 percent increase over the prior year. New membership signups totaled 3,421 for the fiscal year.</w:t>
      </w:r>
    </w:p>
    <w:p w14:paraId="7B02CB84" w14:textId="77777777" w:rsidR="00C249A2" w:rsidRDefault="00000000">
      <w:pPr>
        <w:pStyle w:val="Heading2"/>
      </w:pPr>
      <w:r>
        <w:rPr>
          <w:b/>
          <w:bCs/>
          <w:sz w:val="22"/>
          <w:szCs w:val="22"/>
        </w:rPr>
        <w:t>Membership Revenue</w:t>
      </w:r>
    </w:p>
    <w:p w14:paraId="35468176" w14:textId="77777777" w:rsidR="00C249A2" w:rsidRDefault="00000000">
      <w:pPr>
        <w:spacing w:after="180" w:line="360" w:lineRule="auto"/>
      </w:pPr>
      <w:r>
        <w:t>Membership dues contributed $618,400 in operating revenue for the year, representing 41 percent of total revenue. This was an increase of $54,200 or 9.6 percent over the prior year.</w:t>
      </w:r>
    </w:p>
    <w:p w14:paraId="6CE1651B" w14:textId="77777777" w:rsidR="00C249A2" w:rsidRDefault="00C249A2">
      <w:pPr>
        <w:spacing w:after="160"/>
      </w:pPr>
    </w:p>
    <w:p w14:paraId="1DF0A376" w14:textId="77777777" w:rsidR="00C249A2" w:rsidRDefault="00000000">
      <w:pPr>
        <w:pStyle w:val="Heading1"/>
      </w:pPr>
      <w:r>
        <w:rPr>
          <w:b/>
          <w:bCs/>
          <w:sz w:val="24"/>
          <w:szCs w:val="24"/>
        </w:rPr>
        <w:t>Programs</w:t>
      </w:r>
    </w:p>
    <w:p w14:paraId="33BBBA03" w14:textId="77777777" w:rsidR="00C249A2" w:rsidRDefault="00000000">
      <w:pPr>
        <w:pStyle w:val="Heading2"/>
      </w:pPr>
      <w:r>
        <w:rPr>
          <w:b/>
          <w:bCs/>
          <w:sz w:val="22"/>
          <w:szCs w:val="22"/>
        </w:rPr>
        <w:t>Fitness and Wellness</w:t>
      </w:r>
    </w:p>
    <w:p w14:paraId="43DBDE41" w14:textId="77777777" w:rsidR="00C249A2" w:rsidRDefault="00000000">
      <w:pPr>
        <w:spacing w:after="180" w:line="360" w:lineRule="auto"/>
      </w:pPr>
      <w:r>
        <w:t>The fitness room served an average of 347 members per day following its January 2025 reopening. Group fitness class enrollment totaled 1,840 participants across all classes for the year.</w:t>
      </w:r>
    </w:p>
    <w:p w14:paraId="64EA434B" w14:textId="77777777" w:rsidR="00C249A2" w:rsidRDefault="00000000">
      <w:pPr>
        <w:pStyle w:val="Heading2"/>
      </w:pPr>
      <w:r>
        <w:rPr>
          <w:b/>
          <w:bCs/>
          <w:sz w:val="22"/>
          <w:szCs w:val="22"/>
        </w:rPr>
        <w:t>Youth Programs</w:t>
      </w:r>
    </w:p>
    <w:p w14:paraId="0A2492BB" w14:textId="77777777" w:rsidR="00C249A2" w:rsidRDefault="00000000">
      <w:pPr>
        <w:spacing w:after="180" w:line="360" w:lineRule="auto"/>
      </w:pPr>
      <w:r>
        <w:t>The after-school program served 312 students from 14 local schools during the academic year. Summer camp enrolled 428 campers across four two-week sessions.</w:t>
      </w:r>
    </w:p>
    <w:p w14:paraId="667C8857" w14:textId="77777777" w:rsidR="00A7352F" w:rsidRDefault="00A7352F">
      <w:pPr>
        <w:pStyle w:val="Heading2"/>
        <w:rPr>
          <w:b/>
          <w:bCs/>
          <w:sz w:val="22"/>
          <w:szCs w:val="22"/>
        </w:rPr>
      </w:pPr>
    </w:p>
    <w:p w14:paraId="2C437C21" w14:textId="77777777" w:rsidR="00A7352F" w:rsidRDefault="00A7352F">
      <w:pPr>
        <w:pStyle w:val="Heading2"/>
        <w:rPr>
          <w:b/>
          <w:bCs/>
          <w:sz w:val="22"/>
          <w:szCs w:val="22"/>
        </w:rPr>
      </w:pPr>
    </w:p>
    <w:p w14:paraId="2AACE471" w14:textId="77777777" w:rsidR="00A7352F" w:rsidRDefault="00A7352F">
      <w:pPr>
        <w:pStyle w:val="Heading2"/>
        <w:rPr>
          <w:b/>
          <w:bCs/>
          <w:sz w:val="22"/>
          <w:szCs w:val="22"/>
        </w:rPr>
      </w:pPr>
    </w:p>
    <w:p w14:paraId="381DB46D" w14:textId="33FDCCF7" w:rsidR="00C249A2" w:rsidRDefault="00000000">
      <w:pPr>
        <w:pStyle w:val="Heading2"/>
      </w:pPr>
      <w:r>
        <w:rPr>
          <w:b/>
          <w:bCs/>
          <w:sz w:val="22"/>
          <w:szCs w:val="22"/>
        </w:rPr>
        <w:lastRenderedPageBreak/>
        <w:t>Senior Services</w:t>
      </w:r>
    </w:p>
    <w:p w14:paraId="669F7EAE" w14:textId="77777777" w:rsidR="00C249A2" w:rsidRDefault="00000000">
      <w:pPr>
        <w:spacing w:after="180" w:line="360" w:lineRule="auto"/>
      </w:pPr>
      <w:r>
        <w:t>Senior programming served over 800 unique participants during the fiscal year. The Tech for Seniors workshop series graduated 76 participants across two complete cycles.</w:t>
      </w:r>
    </w:p>
    <w:p w14:paraId="0FCBC530" w14:textId="77777777" w:rsidR="00C249A2" w:rsidRDefault="00C249A2">
      <w:pPr>
        <w:spacing w:after="160"/>
      </w:pPr>
    </w:p>
    <w:p w14:paraId="17586C1A" w14:textId="77777777" w:rsidR="00C249A2" w:rsidRDefault="00000000">
      <w:pPr>
        <w:pStyle w:val="Heading1"/>
      </w:pPr>
      <w:r>
        <w:rPr>
          <w:b/>
          <w:bCs/>
          <w:sz w:val="24"/>
          <w:szCs w:val="24"/>
        </w:rPr>
        <w:t>Financials</w:t>
      </w:r>
    </w:p>
    <w:p w14:paraId="3637D49F" w14:textId="77777777" w:rsidR="00C249A2" w:rsidRDefault="00000000">
      <w:pPr>
        <w:pStyle w:val="Heading2"/>
      </w:pPr>
      <w:r>
        <w:rPr>
          <w:b/>
          <w:bCs/>
          <w:sz w:val="22"/>
          <w:szCs w:val="22"/>
        </w:rPr>
        <w:t>Revenue Summary</w:t>
      </w:r>
    </w:p>
    <w:p w14:paraId="16E4B3ED" w14:textId="77777777" w:rsidR="00C249A2" w:rsidRDefault="00000000">
      <w:pPr>
        <w:spacing w:after="180" w:line="360" w:lineRule="auto"/>
      </w:pPr>
      <w:r>
        <w:t>Total operating revenue for the fiscal year reached $1,511,900, exceeding the annual budget projection by 6.2 percent. Revenue sources included membership dues, program fees, city contract payments, grants, and facility rentals.</w:t>
      </w:r>
    </w:p>
    <w:p w14:paraId="5ED74E9B" w14:textId="77777777" w:rsidR="00C249A2" w:rsidRDefault="00000000">
      <w:pPr>
        <w:pStyle w:val="Heading2"/>
      </w:pPr>
      <w:r>
        <w:rPr>
          <w:b/>
          <w:bCs/>
          <w:sz w:val="22"/>
          <w:szCs w:val="22"/>
        </w:rPr>
        <w:t>Expense Summary</w:t>
      </w:r>
    </w:p>
    <w:p w14:paraId="04EF8367" w14:textId="77777777" w:rsidR="00C249A2" w:rsidRDefault="00000000">
      <w:pPr>
        <w:spacing w:after="180" w:line="360" w:lineRule="auto"/>
      </w:pPr>
      <w:r>
        <w:t>Total operating expenses were $1,464,600, representing 98.7 percent of the annual budget. The Center ended the fiscal year with a positive operating surplus of $47,300.</w:t>
      </w:r>
    </w:p>
    <w:p w14:paraId="7390B9E4" w14:textId="77777777" w:rsidR="00C249A2" w:rsidRDefault="00C249A2">
      <w:pPr>
        <w:spacing w:after="160"/>
      </w:pPr>
    </w:p>
    <w:p w14:paraId="123857DE" w14:textId="77777777" w:rsidR="00C249A2" w:rsidRDefault="00000000">
      <w:pPr>
        <w:pStyle w:val="Heading1"/>
      </w:pPr>
      <w:r>
        <w:rPr>
          <w:b/>
          <w:bCs/>
          <w:sz w:val="24"/>
          <w:szCs w:val="24"/>
        </w:rPr>
        <w:t>Looking Ahead</w:t>
      </w:r>
    </w:p>
    <w:p w14:paraId="168F92D4" w14:textId="77777777" w:rsidR="00C249A2" w:rsidRDefault="00000000">
      <w:pPr>
        <w:spacing w:after="180" w:line="360" w:lineRule="auto"/>
      </w:pPr>
      <w:r>
        <w:t xml:space="preserve">Fiscal year 2025-2026 will focus on Phase </w:t>
      </w:r>
      <w:proofErr w:type="gramStart"/>
      <w:r>
        <w:t>2 facility</w:t>
      </w:r>
      <w:proofErr w:type="gramEnd"/>
      <w:r>
        <w:t xml:space="preserve"> improvements, the launch of the community kitchen, and expanded partnerships with Rio Hondo College and PIH Health. The Center enters the new year </w:t>
      </w:r>
      <w:proofErr w:type="gramStart"/>
      <w:r>
        <w:t>in</w:t>
      </w:r>
      <w:proofErr w:type="gramEnd"/>
      <w:r>
        <w:t xml:space="preserve"> a strong financial position with a committed board, dedicated staff, and a growing and engaged membership.</w:t>
      </w:r>
    </w:p>
    <w:sectPr w:rsidR="00C249A2"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0B1FD2"/>
    <w:multiLevelType w:val="hybridMultilevel"/>
    <w:tmpl w:val="112C33C2"/>
    <w:lvl w:ilvl="0" w:tplc="0E8A1348">
      <w:start w:val="1"/>
      <w:numFmt w:val="bullet"/>
      <w:lvlText w:val="●"/>
      <w:lvlJc w:val="left"/>
      <w:pPr>
        <w:ind w:left="720" w:hanging="360"/>
      </w:pPr>
    </w:lvl>
    <w:lvl w:ilvl="1" w:tplc="04440E26">
      <w:start w:val="1"/>
      <w:numFmt w:val="bullet"/>
      <w:lvlText w:val="○"/>
      <w:lvlJc w:val="left"/>
      <w:pPr>
        <w:ind w:left="1440" w:hanging="360"/>
      </w:pPr>
    </w:lvl>
    <w:lvl w:ilvl="2" w:tplc="348A1FE4">
      <w:start w:val="1"/>
      <w:numFmt w:val="bullet"/>
      <w:lvlText w:val="■"/>
      <w:lvlJc w:val="left"/>
      <w:pPr>
        <w:ind w:left="2160" w:hanging="360"/>
      </w:pPr>
    </w:lvl>
    <w:lvl w:ilvl="3" w:tplc="C8061C6E">
      <w:start w:val="1"/>
      <w:numFmt w:val="bullet"/>
      <w:lvlText w:val="●"/>
      <w:lvlJc w:val="left"/>
      <w:pPr>
        <w:ind w:left="2880" w:hanging="360"/>
      </w:pPr>
    </w:lvl>
    <w:lvl w:ilvl="4" w:tplc="28664838">
      <w:start w:val="1"/>
      <w:numFmt w:val="bullet"/>
      <w:lvlText w:val="○"/>
      <w:lvlJc w:val="left"/>
      <w:pPr>
        <w:ind w:left="3600" w:hanging="360"/>
      </w:pPr>
    </w:lvl>
    <w:lvl w:ilvl="5" w:tplc="E356DFA8">
      <w:start w:val="1"/>
      <w:numFmt w:val="bullet"/>
      <w:lvlText w:val="■"/>
      <w:lvlJc w:val="left"/>
      <w:pPr>
        <w:ind w:left="4320" w:hanging="360"/>
      </w:pPr>
    </w:lvl>
    <w:lvl w:ilvl="6" w:tplc="C70CA408">
      <w:start w:val="1"/>
      <w:numFmt w:val="bullet"/>
      <w:lvlText w:val="●"/>
      <w:lvlJc w:val="left"/>
      <w:pPr>
        <w:ind w:left="5040" w:hanging="360"/>
      </w:pPr>
    </w:lvl>
    <w:lvl w:ilvl="7" w:tplc="5896E5DA">
      <w:start w:val="1"/>
      <w:numFmt w:val="bullet"/>
      <w:lvlText w:val="●"/>
      <w:lvlJc w:val="left"/>
      <w:pPr>
        <w:ind w:left="5760" w:hanging="360"/>
      </w:pPr>
    </w:lvl>
    <w:lvl w:ilvl="8" w:tplc="97FC1408">
      <w:start w:val="1"/>
      <w:numFmt w:val="bullet"/>
      <w:lvlText w:val="●"/>
      <w:lvlJc w:val="left"/>
      <w:pPr>
        <w:ind w:left="6480" w:hanging="360"/>
      </w:pPr>
    </w:lvl>
  </w:abstractNum>
  <w:num w:numId="1" w16cid:durableId="74927656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9A2"/>
    <w:rsid w:val="00A7352F"/>
    <w:rsid w:val="00C249A2"/>
    <w:rsid w:val="00D70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39EE59"/>
  <w15:docId w15:val="{F9717329-3569-4F35-BA00-9AEC20C30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="Verdana" w:hAnsi="Verdana" w:cs="Verdana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312</Words>
  <Characters>1780</Characters>
  <Application>Microsoft Office Word</Application>
  <DocSecurity>0</DocSecurity>
  <Lines>14</Lines>
  <Paragraphs>4</Paragraphs>
  <ScaleCrop>false</ScaleCrop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Richard Knott</cp:lastModifiedBy>
  <cp:revision>2</cp:revision>
  <dcterms:created xsi:type="dcterms:W3CDTF">2026-05-29T04:23:00Z</dcterms:created>
  <dcterms:modified xsi:type="dcterms:W3CDTF">2026-06-23T14:19:00Z</dcterms:modified>
</cp:coreProperties>
</file>